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framePr w:h="1440" w:hAnchor="page" w:hRule="atLeast" w:hSpace="38" w:vAnchor="text" w:wrap="notBeside" w:x="5618" w:y="327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03"/>
        <w:keepNext w:val="true"/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70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</w:rPr>
        <w:t xml:space="preserve">ЕШЕНИЕ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8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 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num" w:leader="none" w:pos="360"/>
        </w:tabs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за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утверждение Плана работы 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pBdr/>
        <w:spacing/>
        <w:ind w:right="20" w:firstLine="720" w:left="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</w:t>
      </w:r>
      <w:r>
        <w:rPr>
          <w:rFonts w:ascii="Times New Roman" w:hAnsi="Times New Roman" w:cs="Times New Roman"/>
          <w:sz w:val="28"/>
          <w:szCs w:val="28"/>
        </w:rPr>
        <w:t xml:space="preserve">омиссии по </w:t>
      </w:r>
      <w:r>
        <w:rPr>
          <w:rFonts w:ascii="Times New Roman" w:hAnsi="Times New Roman" w:cs="Times New Roman"/>
          <w:sz w:val="28"/>
          <w:szCs w:val="28"/>
        </w:rPr>
        <w:t xml:space="preserve">ЧС и ОПБ Нижнекамского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была сосредоточена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-координации деятельности органов управления и сил местного звена территориальной подсистемы предупреждения и ликвидации чрезвычайных </w:t>
      </w:r>
      <w:r>
        <w:rPr>
          <w:rFonts w:ascii="Times New Roman" w:hAnsi="Times New Roman" w:cs="Times New Roman"/>
          <w:sz w:val="28"/>
          <w:szCs w:val="28"/>
        </w:rPr>
        <w:t xml:space="preserve">ситуаций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вопросов о применении 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звена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подсистемы предупреждения и ликвидации чрезвычайных ситуаций, организации и проведении мероприятий по предотвращению и ликвидации чрезвычайных ситуаций;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оснащении социа</w:t>
      </w:r>
      <w:r>
        <w:rPr>
          <w:rFonts w:ascii="Times New Roman" w:hAnsi="Times New Roman" w:cs="Times New Roman"/>
          <w:sz w:val="28"/>
          <w:szCs w:val="28"/>
        </w:rPr>
        <w:t xml:space="preserve">льных объектов средствами пожарной автоматики, приведении электрооборудования и систем противопожарного водоснабжения в соответствие с требованиями пожарной безопасности, обеспечении перечня организационных и практических мероприятий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усилия в работе К</w:t>
      </w:r>
      <w:r>
        <w:rPr>
          <w:rFonts w:ascii="Times New Roman" w:hAnsi="Times New Roman" w:cs="Times New Roman"/>
          <w:sz w:val="28"/>
          <w:szCs w:val="28"/>
        </w:rPr>
        <w:t xml:space="preserve">омиссии по </w:t>
      </w:r>
      <w:r>
        <w:rPr>
          <w:rFonts w:ascii="Times New Roman" w:hAnsi="Times New Roman" w:cs="Times New Roman"/>
          <w:sz w:val="28"/>
          <w:szCs w:val="28"/>
        </w:rPr>
        <w:t xml:space="preserve">ЧС и ОПБ были сосредоточены на предупре</w:t>
      </w:r>
      <w:r>
        <w:rPr>
          <w:rFonts w:ascii="Times New Roman" w:hAnsi="Times New Roman" w:cs="Times New Roman"/>
          <w:sz w:val="28"/>
          <w:szCs w:val="28"/>
        </w:rPr>
        <w:t xml:space="preserve">дительных организационных мероприятиях, механизмах финансового и материально-технического обеспечения готовности сил и средств оперативного реагирования, внедрении передовых технологий при решении задач обеспечения безопасности жизнедеятельности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2025 года </w:t>
      </w:r>
      <w:r>
        <w:rPr>
          <w:rStyle w:val="723"/>
          <w:rFonts w:ascii="Times New Roman" w:hAnsi="Times New Roman" w:cs="Times New Roman"/>
          <w:sz w:val="28"/>
          <w:szCs w:val="28"/>
        </w:rPr>
        <w:t xml:space="preserve">Комиссией по предупреждению и</w:t>
      </w:r>
      <w:r>
        <w:rPr>
          <w:rStyle w:val="72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23"/>
          <w:rFonts w:ascii="Times New Roman" w:hAnsi="Times New Roman" w:cs="Times New Roman"/>
          <w:sz w:val="28"/>
          <w:szCs w:val="28"/>
        </w:rPr>
        <w:t xml:space="preserve">ликвидации чрезвычайных ситуаций и обеспечению пожарной безопасности</w:t>
      </w:r>
      <w:r>
        <w:rPr>
          <w:rStyle w:val="724"/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</w:t>
      </w:r>
      <w:r>
        <w:rPr>
          <w:rStyle w:val="723"/>
          <w:rFonts w:ascii="Times New Roman" w:hAnsi="Times New Roman" w:cs="Times New Roman"/>
          <w:sz w:val="28"/>
          <w:szCs w:val="28"/>
        </w:rPr>
        <w:t xml:space="preserve">Республики Татарстан проведено</w:t>
      </w:r>
      <w:r>
        <w:rPr>
          <w:rStyle w:val="72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23"/>
          <w:rFonts w:ascii="Times New Roman" w:hAnsi="Times New Roman" w:cs="Times New Roman"/>
          <w:b/>
          <w:sz w:val="28"/>
          <w:szCs w:val="28"/>
        </w:rPr>
        <w:t xml:space="preserve">29 </w:t>
      </w:r>
      <w:r>
        <w:rPr>
          <w:rStyle w:val="723"/>
          <w:rFonts w:ascii="Times New Roman" w:hAnsi="Times New Roman" w:cs="Times New Roman"/>
          <w:sz w:val="28"/>
          <w:szCs w:val="28"/>
        </w:rPr>
        <w:t xml:space="preserve">заседаний</w:t>
      </w:r>
      <w:r>
        <w:rPr>
          <w:rStyle w:val="723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723"/>
          <w:rFonts w:ascii="Times New Roman" w:hAnsi="Times New Roman" w:cs="Times New Roman"/>
          <w:sz w:val="28"/>
          <w:szCs w:val="28"/>
        </w:rPr>
        <w:t xml:space="preserve">на которых принято</w:t>
      </w:r>
      <w:r>
        <w:rPr>
          <w:rStyle w:val="723"/>
          <w:rFonts w:ascii="Times New Roman" w:hAnsi="Times New Roman" w:cs="Times New Roman"/>
          <w:b/>
          <w:sz w:val="28"/>
          <w:szCs w:val="28"/>
        </w:rPr>
        <w:t xml:space="preserve"> 7 Решений и 22 Распоряжения </w:t>
      </w:r>
      <w:r>
        <w:rPr>
          <w:rStyle w:val="723"/>
          <w:rFonts w:ascii="Times New Roman" w:hAnsi="Times New Roman" w:cs="Times New Roman"/>
          <w:sz w:val="28"/>
          <w:szCs w:val="28"/>
        </w:rPr>
        <w:t xml:space="preserve">в области профилактики и предупреждения чрезвычайных ситуаций, обеспечения пожарной безопасности и безопасности людей водных объектах нашего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оду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плановых и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внепланов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t xml:space="preserve">заседани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КЧС и ОПБ, принято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касающихся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безопасности населения и территорий, снижения последствий ЧС. Внеплановые заседания проводились в период вес</w:t>
      </w:r>
      <w:r>
        <w:rPr>
          <w:rFonts w:ascii="Times New Roman" w:hAnsi="Times New Roman" w:cs="Times New Roman"/>
          <w:sz w:val="28"/>
          <w:szCs w:val="28"/>
        </w:rPr>
        <w:t xml:space="preserve">еннего половодья, летнего пожароопасного и купального сезона, в связи с обеспечением бесперебойного движения транспорта в сложных погодных метеоусловиях, а также для решения других неотложных задач по защите населения и территорий от чрезвычайных ситуаций.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решила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 признать у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довлетворительной.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обеспечения плановой и целенаправленной деятельности по обеспечению безопасности населения и территории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прилагаемый План работы Комиссии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оведение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Плана работы Комиссии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до членов Комиссии по ЧС и ОПБ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и организационное обеспечение исполнения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Плана работы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возложить на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председателя Комиссии по ЧС и ОПБ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Нижнекамского муниципального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района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Са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йфутдинов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 по ЧС и ОПБ Нижнекамского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 объектов экономики </w:t>
      </w:r>
      <w:r>
        <w:rPr>
          <w:rFonts w:ascii="Times New Roman" w:hAnsi="Times New Roman" w:cs="Times New Roman"/>
          <w:sz w:val="28"/>
          <w:szCs w:val="28"/>
        </w:rPr>
        <w:t xml:space="preserve">основные усилия по подготовке органов управления, ТСЧС </w:t>
      </w:r>
      <w:r>
        <w:rPr>
          <w:rFonts w:ascii="Times New Roman" w:hAnsi="Times New Roman" w:cs="Times New Roman"/>
          <w:sz w:val="28"/>
          <w:szCs w:val="28"/>
        </w:rPr>
        <w:t xml:space="preserve">и ее</w:t>
      </w:r>
      <w:r>
        <w:rPr>
          <w:rFonts w:ascii="Times New Roman" w:hAnsi="Times New Roman" w:cs="Times New Roman"/>
          <w:sz w:val="28"/>
          <w:szCs w:val="28"/>
        </w:rPr>
        <w:t xml:space="preserve"> звеньев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править на: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</w:t>
      </w:r>
      <w:r>
        <w:rPr>
          <w:rFonts w:ascii="Times New Roman" w:hAnsi="Times New Roman" w:cs="Times New Roman"/>
          <w:sz w:val="28"/>
          <w:szCs w:val="28"/>
        </w:rPr>
        <w:t xml:space="preserve">нствование нормативной правовой базы, а также механизмов ее практической реализации в области защиты населения и территории Нижнекамского муниципального района Республики Татарстан от чрезвычайных ситуаций и обеспечения пожарной безопасности, повышения защ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щенности критически важных объектов, создания резервов финансовых и материальных ресурсов для ликвидации чрезвычайных ситуаций на 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канском и местном уровнях, обратив особое внимание на соответствие норм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тивной правовой базы республиканского и муниципального уровней с учетом разграничения предметов ведения и полн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мочий;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работы по реальному накоплению материальных ресурсов в резервах для ликвидации чрезвычайных ситуаций в соответствии с утве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жденными номенклатурой и объ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-совершенствование и развитие правовой базы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вания по вопросам предупреждения и ликвидации чре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вычайных ситуаций природного и техногенного характера;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-принятие всех необходимых мер по финансированию мероприятий по государственной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Защита населения и территорий от чрезвычайных ситуаций, обеспечение пожарной безопасности и безопасности людей на во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ных объектах в Республике </w:t>
      </w:r>
      <w:r>
        <w:rPr>
          <w:rFonts w:ascii="Times New Roman" w:hAnsi="Times New Roman" w:cs="Times New Roman"/>
          <w:sz w:val="28"/>
          <w:szCs w:val="28"/>
        </w:rPr>
        <w:t xml:space="preserve">Татарстан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-2024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Кабинета Министров Республики Татарстан от 02.11.2013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837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(действует с изменениями, в т.ч. на период до 2024–2027 гг.)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единой системы подготовки населения в области защиты от чрезвычайных ситуаций на основе требований новых нормативных документов и с учетом обучения отдельных категорий населен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я по вопросам пожарной безопасности и безопасности людей на водных объе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тах;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беспечение готовности к использованию по предназначению местной системы централизованного оповещения населения. Обратить особое внимание на обеспечение оповещения населения, проживающего в сельской мес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ности, а также на территориях, не охваченных автоматизированными системами це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трализованного оповещ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-принятие мер по выполнению распоряжения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рации от 25 октября 2003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1544-р в части, касающейся реконструкции действующих и создания новых, в том числе в районах размещения потенц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ально опасных объектов, автоматизированных систем централизованного оп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вещения, локальных систем оповещения, сопряженных с автоматизированной системой контроля аварийных выбросов, создания запасов мобильны</w:t>
      </w:r>
      <w:r>
        <w:rPr>
          <w:rFonts w:ascii="Times New Roman" w:hAnsi="Times New Roman" w:cs="Times New Roman"/>
          <w:sz w:val="28"/>
          <w:szCs w:val="28"/>
        </w:rPr>
        <w:t xml:space="preserve">х средств оповещения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территориальной автоматизированной системы контроля 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диационной обстановки;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мероприятий по развитию сети наблюдения и лаборато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ного контроля и актуализации нормативных правовых актов по вопросам ее фун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циониров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-организацию освежения резервов (запасов) средств индивидуальной 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щиты для населения;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-широкое внедрение принципа рационального использования защитных средств, который предполагает, с одной стороны, возможность их своевреме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ного применения по назначению в мирное и военное </w:t>
      </w:r>
      <w:r>
        <w:rPr>
          <w:rFonts w:ascii="Times New Roman" w:hAnsi="Times New Roman" w:cs="Times New Roman"/>
          <w:sz w:val="28"/>
          <w:szCs w:val="28"/>
        </w:rPr>
        <w:t xml:space="preserve">время, с</w:t>
      </w:r>
      <w:r>
        <w:rPr>
          <w:rFonts w:ascii="Times New Roman" w:hAnsi="Times New Roman" w:cs="Times New Roman"/>
          <w:sz w:val="28"/>
          <w:szCs w:val="28"/>
        </w:rPr>
        <w:t xml:space="preserve"> другой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акти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ное использование в хозяйственных целя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 восполнением;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-организацию эффективного взаимодействия с Министерством по делам гражданской обороны и чрезвычайным ситуациям Республики Татарстан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МЧС</w:t>
      </w:r>
      <w:r>
        <w:rPr>
          <w:rFonts w:ascii="Times New Roman" w:hAnsi="Times New Roman" w:cs="Times New Roman"/>
          <w:sz w:val="28"/>
          <w:szCs w:val="28"/>
        </w:rPr>
        <w:t xml:space="preserve"> России по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для решения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дач защиты населения от чрезвычайных с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туаций;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-дальнейшее создание нештатных аварийно-спасательных формиров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ний и </w:t>
      </w:r>
      <w:r>
        <w:rPr>
          <w:rFonts w:ascii="Times New Roman" w:hAnsi="Times New Roman" w:cs="Times New Roman"/>
          <w:sz w:val="28"/>
          <w:szCs w:val="28"/>
        </w:rPr>
        <w:t xml:space="preserve">спасательных служб с учетом их достаточности,</w:t>
      </w:r>
      <w:r>
        <w:rPr>
          <w:rFonts w:ascii="Times New Roman" w:hAnsi="Times New Roman" w:cs="Times New Roman"/>
          <w:sz w:val="28"/>
          <w:szCs w:val="28"/>
        </w:rPr>
        <w:t xml:space="preserve"> и адекватности совр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менным угрозам;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разработки и внедрения паспортов безопасности потенц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ально опасных объектов и административно-территориальных единиц на те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ритории Нижнекамского 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-реализацию в Нижнекамском муниципальном районе Республике Тата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стан положений Градостроительного кодекса Российской Федерации, каса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щихся включения в документы территориального планирования правил земл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пользования и застройки, региональных нормативов градостроительного прое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тирования и строительства пожарных депо, устройства систем противопожа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ного водоснабжения и зонирования, обеспечения подъезда и расстановки 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жарной техники;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-осуществление мер по повышению взаимодействия с Министерством по делам гражданской обороны и чрезвычайным ситуациям Республики Тата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стан, Главным управлением МЧС России по Республике Татарстан и Мин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стерством образования и науки Республики Татарстан в проведении ежегодных школьных республиканских соревнований «Школа безопасности» и полевых лагерей «Юный спас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-реализацию мероприятий, предусмотренных Законом Республики 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тарстан </w:t>
      </w:r>
      <w:r>
        <w:rPr>
          <w:rFonts w:ascii="Times New Roman" w:hAnsi="Times New Roman" w:cs="Times New Roman"/>
          <w:sz w:val="28"/>
          <w:szCs w:val="28"/>
        </w:rPr>
        <w:t xml:space="preserve">от 28 июля 2004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45-ЗРТ «О местном самоуправлении в Республике Тата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стан»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, в целях подготовки руководителей органов местного само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управления к решению вопросов местного значения в области защиты населения и территорий от чрезвычайных ситуаций, обесп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чения пожарной безопасности и безопасности людей на водных объектах;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совместно с заинтересованными территориальными подра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делениями федеральных органов исполнительной власти и организациями Ре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проверок готовности сил и средств, предназначенных для поиска и спасения людей в природной среде, в условиях техногенных аварий, на водных объектах, обратив особое внимание на вопросы фактического нал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чия сил и средств, указанных в планах, организацию взаимодействия между ними;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и совершенствование культуры безопасности насел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в повседневной деятельности и во время чрезвычайных ситуаций, пожаров и происшествий, в том числе дорожно-транспортных происшествий, происшес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вий на водных объектах и происшествий, связанных с экстремальным и неорг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низованным туризмом;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-совершенствование форм и методов информационного обеспечения де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тельности в области предупреждения и ликвидации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пожаров, происшествий, в том числе на водных об</w:t>
      </w:r>
      <w:r>
        <w:rPr>
          <w:rFonts w:ascii="Times New Roman" w:hAnsi="Times New Roman" w:cs="Times New Roman"/>
          <w:sz w:val="28"/>
          <w:szCs w:val="28"/>
        </w:rPr>
        <w:t xml:space="preserve">ъ</w:t>
      </w:r>
      <w:r>
        <w:rPr>
          <w:rFonts w:ascii="Times New Roman" w:hAnsi="Times New Roman" w:cs="Times New Roman"/>
          <w:sz w:val="28"/>
          <w:szCs w:val="28"/>
        </w:rPr>
        <w:t xml:space="preserve">ектах, а также оперативного информирования;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-реализацию меро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приятий по обеспечению безопасности людей на во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д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ных объект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ах, охране их жизни и здоровья;</w:t>
      </w:r>
      <w:r>
        <w:rPr>
          <w:rFonts w:ascii="Times New Roman" w:hAnsi="Times New Roman" w:cs="Times New Roman"/>
          <w:spacing w:val="5"/>
          <w:sz w:val="28"/>
          <w:szCs w:val="28"/>
        </w:rPr>
      </w:r>
      <w:r>
        <w:rPr>
          <w:rFonts w:ascii="Times New Roman" w:hAnsi="Times New Roman" w:cs="Times New Roman"/>
          <w:spacing w:val="5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-совершенствование форм и методов информационного обеспечения де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тельности в области предупреждения и ликвидации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пожарной безопасности и безопасности людей на водных объектах, активное использование возможностей электронных, печа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ных средств массовой информации, 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ружной рекламы;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разработки и внедрения единой информационно-справочной базы реестров опасностей на территории Республики Татарстан, паспорта Нижнекамского муниципального района, сельских поселений, нас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ленных пунктов, потенциально опасных объектов, социально значимых объе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тов, объектов с массовым преб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ванием людей.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исполнением решения </w:t>
      </w:r>
      <w:r>
        <w:rPr>
          <w:rFonts w:ascii="Times New Roman" w:hAnsi="Times New Roman" w:cs="Times New Roman"/>
          <w:sz w:val="28"/>
          <w:szCs w:val="28"/>
        </w:rPr>
        <w:t xml:space="preserve">оставляю за собой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567"/>
          <w:tab w:val="left" w:leader="none" w:pos="851"/>
          <w:tab w:val="left" w:leader="none" w:pos="1134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567"/>
          <w:tab w:val="left" w:leader="none" w:pos="851"/>
          <w:tab w:val="left" w:leader="none" w:pos="1134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5387"/>
        </w:tabs>
        <w:spacing/>
        <w:ind w:right="3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по предупреждению и ликвидации чрезвычайных ситуаций и обеспечению пожарной безопасности -Руководитель Исполнительного комитета Нижнекамского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pBdr/>
        <w:spacing/>
        <w:ind w:right="-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Р.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709" w:right="848" w:bottom="851" w:left="1418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Sylfaen">
    <w:panose1 w:val="010A05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tabs>
          <w:tab w:val="num" w:leader="none" w:pos="1049"/>
        </w:tabs>
        <w:spacing/>
        <w:ind w:hanging="341" w:left="1049"/>
      </w:pPr>
      <w:rPr>
        <w:rFonts w:ascii="Wingdings" w:hAnsi="Wingdings"/>
        <w:color w:val="000000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94"/>
        </w:tabs>
        <w:spacing/>
        <w:ind w:hanging="360" w:left="169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414"/>
        </w:tabs>
        <w:spacing/>
        <w:ind w:hanging="360" w:left="241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34"/>
        </w:tabs>
        <w:spacing/>
        <w:ind w:hanging="360" w:left="313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54"/>
        </w:tabs>
        <w:spacing/>
        <w:ind w:hanging="360" w:left="385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74"/>
        </w:tabs>
        <w:spacing/>
        <w:ind w:hanging="360" w:left="457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94"/>
        </w:tabs>
        <w:spacing/>
        <w:ind w:hanging="360" w:left="529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014"/>
        </w:tabs>
        <w:spacing/>
        <w:ind w:hanging="360" w:left="601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34"/>
        </w:tabs>
        <w:spacing/>
        <w:ind w:hanging="360" w:left="6734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14"/>
  </w:num>
  <w:num w:numId="5">
    <w:abstractNumId w:val="12"/>
  </w:num>
  <w:num w:numId="6">
    <w:abstractNumId w:val="3"/>
  </w:num>
  <w:num w:numId="7">
    <w:abstractNumId w:val="1"/>
  </w:num>
  <w:num w:numId="8">
    <w:abstractNumId w:val="15"/>
  </w:num>
  <w:num w:numId="9">
    <w:abstractNumId w:val="18"/>
  </w:num>
  <w:num w:numId="10">
    <w:abstractNumId w:val="17"/>
  </w:num>
  <w:num w:numId="11">
    <w:abstractNumId w:val="19"/>
  </w:num>
  <w:num w:numId="12">
    <w:abstractNumId w:val="16"/>
  </w:num>
  <w:num w:numId="13">
    <w:abstractNumId w:val="10"/>
  </w:num>
  <w:num w:numId="14">
    <w:abstractNumId w:val="7"/>
  </w:num>
  <w:num w:numId="15">
    <w:abstractNumId w:val="5"/>
  </w:num>
  <w:num w:numId="16">
    <w:abstractNumId w:val="4"/>
  </w:num>
  <w:num w:numId="17">
    <w:abstractNumId w:val="13"/>
  </w:num>
  <w:num w:numId="18">
    <w:abstractNumId w:val="20"/>
  </w:num>
  <w:num w:numId="19">
    <w:abstractNumId w:val="6"/>
  </w:num>
  <w:num w:numId="20">
    <w:abstractNumId w:val="2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3"/>
    <w:next w:val="70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3"/>
    <w:next w:val="70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3"/>
    <w:next w:val="70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3"/>
    <w:next w:val="70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3"/>
    <w:next w:val="70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3"/>
    <w:next w:val="70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89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0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1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2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3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4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5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6">
    <w:name w:val="toc 9"/>
    <w:basedOn w:val="703"/>
    <w:next w:val="70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next w:val="703"/>
    <w:link w:val="70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704">
    <w:name w:val="Основной шрифт абзаца"/>
    <w:next w:val="704"/>
    <w:link w:val="703"/>
    <w:uiPriority w:val="1"/>
    <w:semiHidden/>
    <w:unhideWhenUsed/>
    <w:pPr>
      <w:pBdr/>
      <w:spacing/>
      <w:ind/>
    </w:pPr>
  </w:style>
  <w:style w:type="table" w:styleId="705">
    <w:name w:val="Обычная таблица"/>
    <w:next w:val="705"/>
    <w:link w:val="703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>
    <w:name w:val="Нет списка"/>
    <w:next w:val="706"/>
    <w:link w:val="703"/>
    <w:uiPriority w:val="99"/>
    <w:semiHidden/>
    <w:unhideWhenUsed/>
    <w:pPr>
      <w:pBdr/>
      <w:spacing/>
      <w:ind/>
    </w:pPr>
  </w:style>
  <w:style w:type="character" w:styleId="707">
    <w:name w:val="Заголовок №1_"/>
    <w:next w:val="707"/>
    <w:link w:val="709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08">
    <w:name w:val="Основной текст_"/>
    <w:next w:val="708"/>
    <w:link w:val="710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09">
    <w:name w:val="Заголовок №1"/>
    <w:basedOn w:val="703"/>
    <w:next w:val="709"/>
    <w:link w:val="707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0">
    <w:name w:val="Основной текст2"/>
    <w:basedOn w:val="703"/>
    <w:next w:val="710"/>
    <w:link w:val="708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1">
    <w:name w:val="Основной текст"/>
    <w:basedOn w:val="703"/>
    <w:next w:val="711"/>
    <w:link w:val="712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12">
    <w:name w:val="Основной текст Знак"/>
    <w:next w:val="712"/>
    <w:link w:val="711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3">
    <w:name w:val="Абзац списка"/>
    <w:basedOn w:val="703"/>
    <w:next w:val="713"/>
    <w:link w:val="703"/>
    <w:uiPriority w:val="34"/>
    <w:qFormat/>
    <w:pPr>
      <w:pBdr/>
      <w:spacing/>
      <w:ind w:left="708"/>
    </w:pPr>
  </w:style>
  <w:style w:type="paragraph" w:styleId="714">
    <w:name w:val="Основной текст4"/>
    <w:basedOn w:val="703"/>
    <w:next w:val="714"/>
    <w:link w:val="703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715">
    <w:name w:val="Основной текст15"/>
    <w:basedOn w:val="703"/>
    <w:next w:val="715"/>
    <w:link w:val="703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716">
    <w:name w:val="Основной текст + 13;5 pt;Малые прописные;Интервал 0 pt"/>
    <w:next w:val="716"/>
    <w:link w:val="703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character" w:styleId="717">
    <w:name w:val="Основной текст1"/>
    <w:next w:val="717"/>
    <w:link w:val="703"/>
    <w:pPr>
      <w:pBdr/>
      <w:spacing/>
      <w:ind/>
    </w:pPr>
    <w:rPr>
      <w:rFonts w:ascii="Times New Roman" w:hAnsi="Times New Roman" w:eastAsia="Times New Roman" w:cs="Times New Roman"/>
      <w:spacing w:val="23"/>
      <w:sz w:val="25"/>
      <w:szCs w:val="25"/>
      <w:shd w:val="clear" w:color="auto" w:fill="ffffff"/>
    </w:rPr>
  </w:style>
  <w:style w:type="paragraph" w:styleId="718">
    <w:name w:val="Основной текст3"/>
    <w:basedOn w:val="703"/>
    <w:next w:val="718"/>
    <w:link w:val="703"/>
    <w:pPr>
      <w:pBdr/>
      <w:shd w:val="clear" w:color="auto" w:fill="ffffff"/>
      <w:spacing w:after="720" w:line="0" w:lineRule="atLeast"/>
      <w:ind/>
      <w:jc w:val="both"/>
    </w:pPr>
    <w:rPr>
      <w:rFonts w:ascii="Times New Roman" w:hAnsi="Times New Roman" w:eastAsia="Times New Roman" w:cs="Times New Roman"/>
      <w:spacing w:val="2"/>
      <w:sz w:val="25"/>
      <w:szCs w:val="25"/>
      <w:lang w:val="ru"/>
    </w:rPr>
  </w:style>
  <w:style w:type="character" w:styleId="719">
    <w:name w:val="Основной текст + 13 pt"/>
    <w:next w:val="719"/>
    <w:link w:val="703"/>
    <w:pPr>
      <w:pBdr/>
      <w:spacing/>
      <w:ind/>
    </w:pPr>
    <w:rPr>
      <w:rFonts w:ascii="Times New Roman" w:hAnsi="Times New Roman" w:eastAsia="Times New Roman" w:cs="Times New Roman"/>
      <w:spacing w:val="-3"/>
      <w:sz w:val="25"/>
      <w:szCs w:val="25"/>
      <w:shd w:val="clear" w:color="auto" w:fill="ffffff"/>
    </w:rPr>
  </w:style>
  <w:style w:type="paragraph" w:styleId="720">
    <w:name w:val="Body Text Indent 3"/>
    <w:basedOn w:val="703"/>
    <w:next w:val="720"/>
    <w:link w:val="703"/>
    <w:pPr>
      <w:widowControl w:val="false"/>
      <w:pBdr/>
      <w:spacing/>
      <w:ind w:firstLine="709"/>
      <w:jc w:val="both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character" w:styleId="721">
    <w:name w:val="Подпись к картинке_"/>
    <w:next w:val="721"/>
    <w:link w:val="722"/>
    <w:pPr>
      <w:pBdr/>
      <w:spacing/>
      <w:ind/>
    </w:pPr>
    <w:rPr>
      <w:b/>
      <w:bCs/>
      <w:sz w:val="23"/>
      <w:szCs w:val="23"/>
      <w:lang w:bidi="ar-SA"/>
    </w:rPr>
  </w:style>
  <w:style w:type="paragraph" w:styleId="722">
    <w:name w:val="Подпись к картинке"/>
    <w:basedOn w:val="703"/>
    <w:next w:val="722"/>
    <w:link w:val="721"/>
    <w:pPr>
      <w:pBdr/>
      <w:shd w:val="clear" w:color="auto" w:fill="ffffff"/>
      <w:spacing w:line="274" w:lineRule="exact"/>
      <w:ind/>
      <w:jc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</w:rPr>
  </w:style>
  <w:style w:type="character" w:styleId="723">
    <w:name w:val="Основной текст (2)"/>
    <w:next w:val="723"/>
    <w:link w:val="703"/>
    <w:pPr>
      <w:pBdr/>
      <w:spacing/>
      <w:ind/>
    </w:pPr>
    <w:rPr>
      <w:sz w:val="24"/>
      <w:szCs w:val="24"/>
      <w:lang w:bidi="ar-SA"/>
    </w:rPr>
  </w:style>
  <w:style w:type="character" w:styleId="724">
    <w:name w:val="Основной текст (2)25"/>
    <w:next w:val="724"/>
    <w:link w:val="703"/>
    <w:pPr>
      <w:pBdr/>
      <w:spacing/>
      <w:ind/>
    </w:pPr>
    <w:rPr>
      <w:sz w:val="24"/>
      <w:szCs w:val="24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19</cp:revision>
  <dcterms:created xsi:type="dcterms:W3CDTF">2024-02-05T07:29:00Z</dcterms:created>
  <dcterms:modified xsi:type="dcterms:W3CDTF">2026-03-11T06:54:15Z</dcterms:modified>
  <cp:version>1048576</cp:version>
</cp:coreProperties>
</file>